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3200"/>
        <w:gridCol w:w="2500"/>
        <w:gridCol w:w="1606"/>
        <w:gridCol w:w="1200"/>
        <w:gridCol w:w="1100"/>
        <w:tblGridChange w:id="0">
          <w:tblGrid>
            <w:gridCol w:w="600"/>
            <w:gridCol w:w="3200"/>
            <w:gridCol w:w="2500"/>
            <w:gridCol w:w="1606"/>
            <w:gridCol w:w="1200"/>
            <w:gridCol w:w="110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1c3a6b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2019300" cy="342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1c3a6b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88888"/>
                <w:sz w:val="14"/>
                <w:szCs w:val="14"/>
                <w:rtl w:val="0"/>
              </w:rPr>
              <w:t xml:space="preserve">www.databyte.de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c3a6b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GTM-Checkliste: 10 Schritte vom Marktkonzept zum ersten Abschluss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ecf2" w:val="clear"/>
            <w:tcMar>
              <w:top w:w="60.0" w:type="dxa"/>
              <w:left w:w="12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5"/>
                <w:szCs w:val="15"/>
                <w:rtl w:val="0"/>
              </w:rPr>
              <w:t xml:space="preserve">Unternehmen / Produkt: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ecf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5"/>
                <w:szCs w:val="15"/>
                <w:rtl w:val="0"/>
              </w:rPr>
              <w:t xml:space="preserve">Erstellt von: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ecf2" w:val="clear"/>
            <w:tcMar>
              <w:top w:w="60.0" w:type="dxa"/>
              <w:left w:w="6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5"/>
                <w:szCs w:val="15"/>
                <w:rtl w:val="0"/>
              </w:rPr>
              <w:t xml:space="preserve">Datum / Version: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c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Phase 1 | Strategie &amp; Zielmarkt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Aufgabe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Details / Kriterien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Verantwortlich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Zielmarkt eingrenzen &amp; TAM berechnen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TAM, SAM und SOM auf Basis aktueller Firmendaten (Branche, Region, Umsatz)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ICP definieren &amp; mit Firmendaten validieren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Firmographische Kriterien festlegen; gegen Echtdaten prüfen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Competitive Positioning dokumentieren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Marktumfeld analysieren; eigene Differenzierung benennen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b3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Phase 2 | Messaging &amp; Positionierung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Aufgabe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Details / Kriterien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Verantwortlich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Value Proposition formulieren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Problem, Nutzen und Beleg auf drei Botschaftsebenen ausarbeiten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Messaging segmentieren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Botschaften je Zielsegment und Kanal ausarbeiten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Vertriebskanal &amp; Budget festlegen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Kanalentscheidung auf Deal-Wert und Kaufprozess abstimmen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3a0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Phase 3 | Go-Live &amp; Scale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Aufgabe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Details / Kriterien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Verantwortlich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Sales Playbook erstellen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Outbound-Sequenzen, Sales Trigger und Messaging pro Zielgruppe definieren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Pricing &amp; Packaging finalisieren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Preismodell, Einstiegspakete und Upgrade-Pfade festlegen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Launch-KPIs &amp; Tracking aufsetzen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Pro Phase 2–3 KPIs mit Zielwert hinterlegen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Post-Launch-Review einplanen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30-, 60- und 90-Tage-Review fest im Kalender verankern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ec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Notizen &amp; nächste Schritte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3200"/>
        <w:gridCol w:w="2400"/>
        <w:gridCol w:w="1706"/>
        <w:gridCol w:w="1200"/>
        <w:gridCol w:w="1100"/>
        <w:tblGridChange w:id="0">
          <w:tblGrid>
            <w:gridCol w:w="600"/>
            <w:gridCol w:w="3200"/>
            <w:gridCol w:w="2400"/>
            <w:gridCol w:w="1706"/>
            <w:gridCol w:w="1200"/>
            <w:gridCol w:w="110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1c3a6b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2019300" cy="3429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1c3a6b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888888"/>
                <w:sz w:val="14"/>
                <w:szCs w:val="14"/>
                <w:rtl w:val="0"/>
              </w:rPr>
              <w:t xml:space="preserve">www.databyte.de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c3a6b" w:val="clear"/>
            <w:tcMar>
              <w:top w:w="100.0" w:type="dxa"/>
              <w:left w:w="150.0" w:type="dxa"/>
              <w:bottom w:w="10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6"/>
                <w:szCs w:val="26"/>
                <w:rtl w:val="0"/>
              </w:rPr>
              <w:t xml:space="preserve">Compliance-Check: Was GTM-Teams bis Q4 2025 prüfen müssen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ecf2" w:val="clear"/>
            <w:tcMar>
              <w:top w:w="60.0" w:type="dxa"/>
              <w:left w:w="12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5"/>
                <w:szCs w:val="15"/>
                <w:rtl w:val="0"/>
              </w:rPr>
              <w:t xml:space="preserve">Unternehmen / Produkt: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ecf2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5"/>
                <w:szCs w:val="15"/>
                <w:rtl w:val="0"/>
              </w:rPr>
              <w:t xml:space="preserve">Erstellt von: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8ecf2" w:val="clear"/>
            <w:tcMar>
              <w:top w:w="60.0" w:type="dxa"/>
              <w:left w:w="6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5"/>
                <w:szCs w:val="15"/>
                <w:rtl w:val="0"/>
              </w:rPr>
              <w:t xml:space="preserve">Datum / Version: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6b3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EmpCo-Richtlinie (EU 2024/825) – Umsetzungspflicht: März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Prüfpunkt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Betroffene Unterlagen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Verantwortlich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Alle Vermarktungsunterlagen auf pauschale Nachhaltigkeitsaussagen prüfen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Landing Pages, Sales Decks, Angebotsunterlagen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Q4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"klimaneutral", "nachhaltig" ohne Nachweis entfernen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Website, Präsentationen, Werbemittel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Q4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Nachweisdokumentation für verbleibende Green Claims aufbauen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Interne Dokumentation, Zertifikate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Q1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Messaging-Audit mit Legal-Team abstimmen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Alle Vermarktungsmaterialien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4f8f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6b3e"/>
                <w:sz w:val="16"/>
                <w:szCs w:val="16"/>
                <w:rtl w:val="0"/>
              </w:rPr>
              <w:t xml:space="preserve">Q4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03a0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EU-Produkthaftungsrichtlinie (PLD 2024/2853) – Gültig ab: Dezember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Prüfpunkt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Betroffene Unterlagen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Verantwortlich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Produktversprechen in Pitch Decks und Angebotsunterlagen prüfen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Pitch Decks, Angebote, Onboarding-Docs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Q3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KI-gestützte Features und digitale Produkte auf Haftungsrisiken prüfen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Produktdokumentation, AGB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ef9f0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Q3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Dokumentation der Produktsicherheit aufbauen (Beweislastumkehr)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Technische Dokumentation, Testprotokolle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b03a00"/>
                <w:sz w:val="16"/>
                <w:szCs w:val="16"/>
                <w:rtl w:val="0"/>
              </w:rPr>
              <w:t xml:space="preserve">Q3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c3a6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DSGVO – Datenbasis &amp; Outbound-Compliance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Prüfpunkt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Betroffene Unterlagen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Verantwortlich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d0d8e8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Deadline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DSGVO-Dokumentation der Datenherkunft für Outbound-Kontakte prüfen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CRM-Datensätze, Quellenangaben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555555"/>
                <w:sz w:val="16"/>
                <w:szCs w:val="16"/>
                <w:rtl w:val="0"/>
              </w:rPr>
              <w:t xml:space="preserve">Laufend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Datenbasis auf Aktualität prüfen (max. 30 Tage alte Entscheiderkontakte)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CRM, Firmendatenbank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e8ec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555555"/>
                <w:sz w:val="16"/>
                <w:szCs w:val="16"/>
                <w:rtl w:val="0"/>
              </w:rPr>
              <w:t xml:space="preserve">Laufend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3a6b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c2c2c"/>
                <w:sz w:val="16"/>
                <w:szCs w:val="16"/>
                <w:rtl w:val="0"/>
              </w:rPr>
              <w:t xml:space="preserve">Sperrlisten und Werbeverbote in Firmendatenbank prüfen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c2c2c"/>
                <w:sz w:val="16"/>
                <w:szCs w:val="16"/>
                <w:rtl w:val="0"/>
              </w:rPr>
              <w:t xml:space="preserve">Outbound-Listen, databyte-Filter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4" w:val="single"/>
              <w:left w:color="dddddd" w:space="0" w:sz="4" w:val="single"/>
              <w:bottom w:color="dddddd" w:space="0" w:sz="4" w:val="single"/>
              <w:right w:color="dddddd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555555"/>
                <w:sz w:val="16"/>
                <w:szCs w:val="16"/>
                <w:rtl w:val="0"/>
              </w:rPr>
              <w:t xml:space="preserve">Laufend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120.0" w:type="dxa"/>
              <w:bottom w:w="40.0" w:type="dxa"/>
              <w:right w:w="120.0" w:type="dxa"/>
            </w:tcMar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jc w:val="center"/>
      <w:rPr/>
    </w:pPr>
    <w:r w:rsidDel="00000000" w:rsidR="00000000" w:rsidRPr="00000000">
      <w:rPr>
        <w:rFonts w:ascii="Arial" w:cs="Arial" w:eastAsia="Arial" w:hAnsi="Arial"/>
        <w:b w:val="0"/>
        <w:bCs w:val="0"/>
        <w:color w:val="888888"/>
        <w:sz w:val="14"/>
        <w:szCs w:val="14"/>
        <w:rtl w:val="0"/>
      </w:rPr>
      <w:t xml:space="preserve">databyte Business Engine  ·  www.databyte.de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NYQMuXLZP7DcwOZSrdCYC0f3w==">CgMxLjA4AHIhMTVScXk3dmhOeThIMkM1NUFIWmI0REs3djV6cTBHcURR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